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11" w:rsidRDefault="00FB24C1">
      <w:bookmarkStart w:id="0" w:name="_GoBack"/>
      <w:bookmarkEnd w:id="0"/>
      <w:r>
        <w:rPr>
          <w:noProof/>
        </w:rPr>
        <w:pict>
          <v:line id="Line 4" o:spid="_x0000_s1026" style="position:absolute;z-index:251657216;visibility:visible;mso-wrap-distance-top:-3e-5mm;mso-wrap-distance-bottom:-3e-5mm" from="-4.5pt,4.15pt" to="35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" strokecolor="red" strokeweight="6pt"/>
        </w:pict>
      </w:r>
      <w:r w:rsidR="00E65A58">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-309245</wp:posOffset>
            </wp:positionV>
            <wp:extent cx="895350" cy="895350"/>
            <wp:effectExtent l="19050" t="0" r="0" b="0"/>
            <wp:wrapSquare wrapText="bothSides"/>
            <wp:docPr id="14" name="Immagine 14" descr="usb_logo_4c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b_logo_4c_PI"/>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rsidR="00715911" w:rsidRPr="00715911" w:rsidRDefault="00063479" w:rsidP="00F83EBD">
      <w:pPr>
        <w:autoSpaceDE w:val="0"/>
        <w:autoSpaceDN w:val="0"/>
        <w:adjustRightInd w:val="0"/>
        <w:spacing w:before="60"/>
        <w:rPr>
          <w:rFonts w:ascii="Verdana" w:hAnsi="Verdana" w:cs="Arial Grassetto+FPEF"/>
          <w:b/>
          <w:sz w:val="16"/>
          <w:szCs w:val="16"/>
        </w:rPr>
      </w:pPr>
      <w:r>
        <w:rPr>
          <w:rFonts w:ascii="Verdana" w:hAnsi="Verdana" w:cs="Arial Grassetto+FPEF"/>
          <w:b/>
          <w:sz w:val="16"/>
          <w:szCs w:val="16"/>
        </w:rPr>
        <w:t>USB</w:t>
      </w:r>
      <w:r w:rsidR="00AD7675">
        <w:rPr>
          <w:rFonts w:ascii="Verdana" w:hAnsi="Verdana" w:cs="Arial Grassetto+FPEF"/>
          <w:b/>
          <w:sz w:val="16"/>
          <w:szCs w:val="16"/>
        </w:rPr>
        <w:t xml:space="preserve"> PI</w:t>
      </w:r>
      <w:r w:rsidR="00715911" w:rsidRPr="00715911">
        <w:rPr>
          <w:rFonts w:ascii="Verdana" w:hAnsi="Verdana" w:cs="Arial Grassetto+FPEF"/>
          <w:b/>
          <w:sz w:val="16"/>
          <w:szCs w:val="16"/>
        </w:rPr>
        <w:t xml:space="preserve"> - Federazione Nazionale - Via dell’Aeroporto 129 - 00175 Roma</w:t>
      </w:r>
    </w:p>
    <w:p w:rsidR="00715911" w:rsidRPr="00715911" w:rsidRDefault="00715911" w:rsidP="00715911">
      <w:pPr>
        <w:autoSpaceDE w:val="0"/>
        <w:autoSpaceDN w:val="0"/>
        <w:adjustRightInd w:val="0"/>
        <w:rPr>
          <w:rFonts w:ascii="Verdana" w:hAnsi="Verdana" w:cs="Arial Grassetto+FPEF"/>
          <w:b/>
          <w:sz w:val="16"/>
          <w:szCs w:val="16"/>
        </w:rPr>
      </w:pPr>
      <w:r w:rsidRPr="00715911">
        <w:rPr>
          <w:rFonts w:ascii="Verdana" w:hAnsi="Verdana" w:cs="Arial Grassetto+FPEF"/>
          <w:b/>
          <w:sz w:val="16"/>
          <w:szCs w:val="16"/>
        </w:rPr>
        <w:t>telefono 06 762821 - fax 06 233223871 - sito web: www.agenziefiscali.</w:t>
      </w:r>
      <w:r w:rsidR="00F83EBD">
        <w:rPr>
          <w:rFonts w:ascii="Verdana" w:hAnsi="Verdana" w:cs="Arial Grassetto+FPEF"/>
          <w:b/>
          <w:sz w:val="16"/>
          <w:szCs w:val="16"/>
        </w:rPr>
        <w:t>usb</w:t>
      </w:r>
      <w:r w:rsidRPr="00715911">
        <w:rPr>
          <w:rFonts w:ascii="Verdana" w:hAnsi="Verdana" w:cs="Arial Grassetto+FPEF"/>
          <w:b/>
          <w:sz w:val="16"/>
          <w:szCs w:val="16"/>
        </w:rPr>
        <w:t>.it -</w:t>
      </w:r>
    </w:p>
    <w:p w:rsidR="00715911" w:rsidRDefault="00715911" w:rsidP="00715911">
      <w:pPr>
        <w:rPr>
          <w:rFonts w:ascii="Verdana" w:hAnsi="Verdana" w:cs="Arial Grassetto+FPEF"/>
          <w:b/>
          <w:sz w:val="16"/>
          <w:szCs w:val="16"/>
        </w:rPr>
      </w:pPr>
      <w:r w:rsidRPr="00715911">
        <w:rPr>
          <w:rFonts w:ascii="Verdana" w:hAnsi="Verdana" w:cs="Arial Grassetto+FPEF"/>
          <w:b/>
          <w:sz w:val="16"/>
          <w:szCs w:val="16"/>
        </w:rPr>
        <w:t xml:space="preserve">e-mail: </w:t>
      </w:r>
      <w:r w:rsidR="00F83EBD">
        <w:rPr>
          <w:rFonts w:ascii="Verdana" w:hAnsi="Verdana" w:cs="Arial Grassetto+FPEF"/>
          <w:b/>
          <w:sz w:val="16"/>
          <w:szCs w:val="16"/>
        </w:rPr>
        <w:t>agenziefiscali@usb</w:t>
      </w:r>
      <w:r w:rsidRPr="00715911">
        <w:rPr>
          <w:rFonts w:ascii="Verdana" w:hAnsi="Verdana" w:cs="Arial Grassetto+FPEF"/>
          <w:b/>
          <w:sz w:val="16"/>
          <w:szCs w:val="16"/>
        </w:rPr>
        <w:t>.it</w:t>
      </w:r>
      <w:r w:rsidR="009E0C1C">
        <w:rPr>
          <w:rFonts w:ascii="Verdana" w:hAnsi="Verdana" w:cs="Arial Grassetto+FPEF"/>
          <w:b/>
          <w:sz w:val="16"/>
          <w:szCs w:val="16"/>
        </w:rPr>
        <w:tab/>
      </w:r>
    </w:p>
    <w:p w:rsidR="005B45B0" w:rsidRDefault="005B45B0" w:rsidP="00715911">
      <w:pPr>
        <w:rPr>
          <w:rFonts w:ascii="Verdana" w:hAnsi="Verdana" w:cs="Arial Grassetto+FPEF"/>
          <w:b/>
          <w:sz w:val="16"/>
          <w:szCs w:val="16"/>
        </w:rPr>
      </w:pPr>
    </w:p>
    <w:p w:rsidR="00985DD6" w:rsidRDefault="00985DD6" w:rsidP="00985DD6">
      <w:pPr>
        <w:jc w:val="center"/>
        <w:rPr>
          <w:rFonts w:ascii="Times New Roman" w:hAnsi="Times New Roman" w:cs="Times New Roman"/>
          <w:b/>
          <w:bCs/>
          <w:sz w:val="32"/>
          <w:szCs w:val="32"/>
        </w:rPr>
      </w:pPr>
    </w:p>
    <w:p w:rsidR="00AD1651" w:rsidRPr="00AD1651" w:rsidRDefault="00AD1651" w:rsidP="00AD1651">
      <w:pPr>
        <w:spacing w:after="240"/>
        <w:jc w:val="both"/>
        <w:rPr>
          <w:rFonts w:ascii="Times New Roman" w:hAnsi="Times New Roman" w:cs="Times New Roman"/>
          <w:b/>
          <w:sz w:val="27"/>
          <w:szCs w:val="27"/>
        </w:rPr>
      </w:pPr>
      <w:r w:rsidRPr="00AD1651">
        <w:rPr>
          <w:rFonts w:ascii="Times New Roman" w:hAnsi="Times New Roman" w:cs="Times New Roman"/>
          <w:b/>
          <w:sz w:val="27"/>
          <w:szCs w:val="27"/>
        </w:rPr>
        <w:t>AGENZIA DELLE DOGANE E DEI MONOPOLI: RIUNIONE DEL 25 LUGLIO</w:t>
      </w:r>
    </w:p>
    <w:p w:rsidR="00AD1651" w:rsidRPr="00AE205A" w:rsidRDefault="00AD1651" w:rsidP="00AD1651">
      <w:pPr>
        <w:spacing w:after="80"/>
        <w:jc w:val="both"/>
        <w:rPr>
          <w:rFonts w:ascii="Times New Roman" w:hAnsi="Times New Roman" w:cs="Times New Roman"/>
        </w:rPr>
      </w:pPr>
      <w:r w:rsidRPr="00AE205A">
        <w:rPr>
          <w:rFonts w:ascii="Times New Roman" w:hAnsi="Times New Roman" w:cs="Times New Roman"/>
        </w:rPr>
        <w:t xml:space="preserve">L’Agenzia ci ha illustrato il </w:t>
      </w:r>
      <w:r w:rsidRPr="00AE205A">
        <w:rPr>
          <w:rFonts w:ascii="Times New Roman" w:hAnsi="Times New Roman" w:cs="Times New Roman"/>
          <w:b/>
        </w:rPr>
        <w:t>Piano strategico</w:t>
      </w:r>
      <w:r w:rsidRPr="00AE205A">
        <w:rPr>
          <w:rFonts w:ascii="Times New Roman" w:hAnsi="Times New Roman" w:cs="Times New Roman"/>
        </w:rPr>
        <w:t xml:space="preserve"> per il triennio 2016/2018. Un Piano che ricalca quelli degli anni precedenti, ma che quest’anno è quanto mai difficile valutare</w:t>
      </w:r>
      <w:r w:rsidR="001B5BB7" w:rsidRPr="00AE205A">
        <w:rPr>
          <w:rFonts w:ascii="Times New Roman" w:hAnsi="Times New Roman" w:cs="Times New Roman"/>
        </w:rPr>
        <w:t xml:space="preserve"> slegandolo</w:t>
      </w:r>
      <w:r w:rsidRPr="00AE205A">
        <w:rPr>
          <w:rFonts w:ascii="Times New Roman" w:hAnsi="Times New Roman" w:cs="Times New Roman"/>
        </w:rPr>
        <w:t xml:space="preserve"> dal contesto di incertezza che stiamo vivendo</w:t>
      </w:r>
      <w:r w:rsidR="001B5BB7" w:rsidRPr="00AE205A">
        <w:rPr>
          <w:rFonts w:ascii="Times New Roman" w:hAnsi="Times New Roman" w:cs="Times New Roman"/>
        </w:rPr>
        <w:t>,</w:t>
      </w:r>
      <w:r w:rsidRPr="00AE205A">
        <w:rPr>
          <w:rFonts w:ascii="Times New Roman" w:hAnsi="Times New Roman" w:cs="Times New Roman"/>
        </w:rPr>
        <w:t xml:space="preserve"> </w:t>
      </w:r>
      <w:r w:rsidR="001B5BB7" w:rsidRPr="00AE205A">
        <w:rPr>
          <w:rFonts w:ascii="Times New Roman" w:hAnsi="Times New Roman" w:cs="Times New Roman"/>
        </w:rPr>
        <w:t xml:space="preserve">sia </w:t>
      </w:r>
      <w:r w:rsidRPr="00AE205A">
        <w:rPr>
          <w:rFonts w:ascii="Times New Roman" w:hAnsi="Times New Roman" w:cs="Times New Roman"/>
        </w:rPr>
        <w:t xml:space="preserve">sulla quota incentivante destinata al personale a fronte del raggiungimento degli obiettivi che il Piano si propone </w:t>
      </w:r>
      <w:r w:rsidR="001B5BB7" w:rsidRPr="00AE205A">
        <w:rPr>
          <w:rFonts w:ascii="Times New Roman" w:hAnsi="Times New Roman" w:cs="Times New Roman"/>
        </w:rPr>
        <w:t>che</w:t>
      </w:r>
      <w:r w:rsidRPr="00AE205A">
        <w:rPr>
          <w:rFonts w:ascii="Times New Roman" w:hAnsi="Times New Roman" w:cs="Times New Roman"/>
        </w:rPr>
        <w:t xml:space="preserve">, più in generale, </w:t>
      </w:r>
      <w:r w:rsidR="001B5BB7" w:rsidRPr="00AE205A">
        <w:rPr>
          <w:rFonts w:ascii="Times New Roman" w:hAnsi="Times New Roman" w:cs="Times New Roman"/>
        </w:rPr>
        <w:t>sul</w:t>
      </w:r>
      <w:r w:rsidRPr="00AE205A">
        <w:rPr>
          <w:rFonts w:ascii="Times New Roman" w:hAnsi="Times New Roman" w:cs="Times New Roman"/>
        </w:rPr>
        <w:t xml:space="preserve"> futuro delle Agenzie Fiscali.</w:t>
      </w:r>
    </w:p>
    <w:p w:rsidR="00AD1651" w:rsidRPr="00AE205A" w:rsidRDefault="00AD1651" w:rsidP="00AD1651">
      <w:pPr>
        <w:spacing w:after="80"/>
        <w:jc w:val="both"/>
        <w:rPr>
          <w:rFonts w:ascii="Times New Roman" w:hAnsi="Times New Roman" w:cs="Times New Roman"/>
        </w:rPr>
      </w:pPr>
      <w:r w:rsidRPr="00AE205A">
        <w:rPr>
          <w:rFonts w:ascii="Times New Roman" w:hAnsi="Times New Roman" w:cs="Times New Roman"/>
        </w:rPr>
        <w:t>La bozza di Convenzione che ci è pervenuta dal MEF</w:t>
      </w:r>
      <w:r w:rsidR="001B5BB7" w:rsidRPr="00AE205A">
        <w:rPr>
          <w:rFonts w:ascii="Times New Roman" w:hAnsi="Times New Roman" w:cs="Times New Roman"/>
        </w:rPr>
        <w:t xml:space="preserve"> in vista della</w:t>
      </w:r>
      <w:r w:rsidRPr="00AE205A">
        <w:rPr>
          <w:rFonts w:ascii="Times New Roman" w:hAnsi="Times New Roman" w:cs="Times New Roman"/>
        </w:rPr>
        <w:t xml:space="preserve"> riunione </w:t>
      </w:r>
      <w:r w:rsidR="001B5BB7" w:rsidRPr="00AE205A">
        <w:rPr>
          <w:rFonts w:ascii="Times New Roman" w:hAnsi="Times New Roman" w:cs="Times New Roman"/>
        </w:rPr>
        <w:t>de</w:t>
      </w:r>
      <w:r w:rsidRPr="00AE205A">
        <w:rPr>
          <w:rFonts w:ascii="Times New Roman" w:hAnsi="Times New Roman" w:cs="Times New Roman"/>
        </w:rPr>
        <w:t>l 2 agosto, non quantifica</w:t>
      </w:r>
      <w:r w:rsidR="001B5BB7" w:rsidRPr="00AE205A">
        <w:rPr>
          <w:rFonts w:ascii="Times New Roman" w:hAnsi="Times New Roman" w:cs="Times New Roman"/>
        </w:rPr>
        <w:t xml:space="preserve"> la quota incentivante,</w:t>
      </w:r>
      <w:r w:rsidRPr="00AE205A">
        <w:rPr>
          <w:rFonts w:ascii="Times New Roman" w:hAnsi="Times New Roman" w:cs="Times New Roman"/>
        </w:rPr>
        <w:t xml:space="preserve"> esclude le Agenzie fiscali dall’applicazione del decreto sul “comma 165”</w:t>
      </w:r>
      <w:r w:rsidR="001B5BB7" w:rsidRPr="00AE205A">
        <w:rPr>
          <w:rFonts w:ascii="Times New Roman" w:hAnsi="Times New Roman" w:cs="Times New Roman"/>
        </w:rPr>
        <w:t xml:space="preserve"> </w:t>
      </w:r>
      <w:r w:rsidRPr="00AE205A">
        <w:rPr>
          <w:rFonts w:ascii="Times New Roman" w:hAnsi="Times New Roman" w:cs="Times New Roman"/>
        </w:rPr>
        <w:t xml:space="preserve">e rimanda ad una </w:t>
      </w:r>
      <w:r w:rsidR="001B5BB7" w:rsidRPr="00AE205A">
        <w:rPr>
          <w:rFonts w:ascii="Times New Roman" w:hAnsi="Times New Roman" w:cs="Times New Roman"/>
        </w:rPr>
        <w:t xml:space="preserve">somma </w:t>
      </w:r>
      <w:r w:rsidRPr="00AE205A">
        <w:rPr>
          <w:rFonts w:ascii="Times New Roman" w:hAnsi="Times New Roman" w:cs="Times New Roman"/>
        </w:rPr>
        <w:t>integra</w:t>
      </w:r>
      <w:r w:rsidR="001B5BB7" w:rsidRPr="00AE205A">
        <w:rPr>
          <w:rFonts w:ascii="Times New Roman" w:hAnsi="Times New Roman" w:cs="Times New Roman"/>
        </w:rPr>
        <w:t>tiva</w:t>
      </w:r>
      <w:r w:rsidRPr="00AE205A">
        <w:rPr>
          <w:rFonts w:ascii="Times New Roman" w:hAnsi="Times New Roman" w:cs="Times New Roman"/>
        </w:rPr>
        <w:t xml:space="preserve"> </w:t>
      </w:r>
      <w:r w:rsidR="001B5BB7" w:rsidRPr="00AE205A">
        <w:rPr>
          <w:rFonts w:ascii="Times New Roman" w:hAnsi="Times New Roman" w:cs="Times New Roman"/>
        </w:rPr>
        <w:t>“</w:t>
      </w:r>
      <w:r w:rsidRPr="00AE205A">
        <w:rPr>
          <w:rFonts w:ascii="Times New Roman" w:hAnsi="Times New Roman" w:cs="Times New Roman"/>
          <w:i/>
        </w:rPr>
        <w:t>eventuale-variabile” (cit.</w:t>
      </w:r>
      <w:r w:rsidRPr="00AE205A">
        <w:rPr>
          <w:rFonts w:ascii="Times New Roman" w:hAnsi="Times New Roman" w:cs="Times New Roman"/>
        </w:rPr>
        <w:t xml:space="preserve">), disposta con il provvedimento in corso di gestione ai sensi dell’art. 1 del d. lgs 175/2015.  </w:t>
      </w:r>
    </w:p>
    <w:p w:rsidR="00AD1651" w:rsidRPr="00AE205A" w:rsidRDefault="00AD1651" w:rsidP="00AD1651">
      <w:pPr>
        <w:spacing w:after="80"/>
        <w:jc w:val="both"/>
        <w:rPr>
          <w:rFonts w:ascii="Times New Roman" w:hAnsi="Times New Roman" w:cs="Times New Roman"/>
        </w:rPr>
      </w:pPr>
      <w:r w:rsidRPr="00AE205A">
        <w:rPr>
          <w:rFonts w:ascii="Times New Roman" w:hAnsi="Times New Roman" w:cs="Times New Roman"/>
        </w:rPr>
        <w:t>Per chi, come noi, da tempo chiede una modifica del sistema incentivante</w:t>
      </w:r>
      <w:r w:rsidR="001B5BB7" w:rsidRPr="00AE205A">
        <w:rPr>
          <w:rFonts w:ascii="Times New Roman" w:hAnsi="Times New Roman" w:cs="Times New Roman"/>
        </w:rPr>
        <w:t>,</w:t>
      </w:r>
      <w:r w:rsidRPr="00AE205A">
        <w:rPr>
          <w:rFonts w:ascii="Times New Roman" w:hAnsi="Times New Roman" w:cs="Times New Roman"/>
        </w:rPr>
        <w:t xml:space="preserve"> per avere certezza e stabilità nei tempi e negli importi di questa parte fondamentale del nostro salario</w:t>
      </w:r>
      <w:r w:rsidR="001B5BB7" w:rsidRPr="00AE205A">
        <w:rPr>
          <w:rFonts w:ascii="Times New Roman" w:hAnsi="Times New Roman" w:cs="Times New Roman"/>
        </w:rPr>
        <w:t>,</w:t>
      </w:r>
      <w:r w:rsidRPr="00AE205A">
        <w:rPr>
          <w:rFonts w:ascii="Times New Roman" w:hAnsi="Times New Roman" w:cs="Times New Roman"/>
        </w:rPr>
        <w:t xml:space="preserve"> non può certo essere accettato che l’incertezza legata alla firma del decreto si sposti sull’emanazione di un provvedimento e addirittura si estenda anche alla quota che prima era stabilita dalla Convenzione. Se poi si considera che dal 2015 cambiano i metodi di costituzione dei Fondi e che preoccupanti circolari della Ragioneria dello Stato mirano a far diventare strutturali i pesanti tagli del Fondo 2014, ad incertezza si somma altra incertezza e l’effetto su</w:t>
      </w:r>
      <w:r w:rsidR="00AE205A" w:rsidRPr="00AE205A">
        <w:rPr>
          <w:rFonts w:ascii="Times New Roman" w:hAnsi="Times New Roman" w:cs="Times New Roman"/>
        </w:rPr>
        <w:t>l</w:t>
      </w:r>
      <w:r w:rsidRPr="00AE205A">
        <w:rPr>
          <w:rFonts w:ascii="Times New Roman" w:hAnsi="Times New Roman" w:cs="Times New Roman"/>
        </w:rPr>
        <w:t xml:space="preserve"> nostr</w:t>
      </w:r>
      <w:r w:rsidR="00AE205A" w:rsidRPr="00AE205A">
        <w:rPr>
          <w:rFonts w:ascii="Times New Roman" w:hAnsi="Times New Roman" w:cs="Times New Roman"/>
        </w:rPr>
        <w:t>o</w:t>
      </w:r>
      <w:r w:rsidRPr="00AE205A">
        <w:rPr>
          <w:rFonts w:ascii="Times New Roman" w:hAnsi="Times New Roman" w:cs="Times New Roman"/>
        </w:rPr>
        <w:t xml:space="preserve"> salario accessorio potrebbe essere devastante. </w:t>
      </w:r>
    </w:p>
    <w:p w:rsidR="00AE205A" w:rsidRDefault="00AD1651" w:rsidP="00AE205A">
      <w:pPr>
        <w:spacing w:after="80"/>
        <w:jc w:val="both"/>
        <w:rPr>
          <w:rFonts w:ascii="Times New Roman" w:hAnsi="Times New Roman" w:cs="Times New Roman"/>
        </w:rPr>
      </w:pPr>
      <w:r w:rsidRPr="00AE205A">
        <w:rPr>
          <w:rFonts w:ascii="Times New Roman" w:hAnsi="Times New Roman" w:cs="Times New Roman"/>
        </w:rPr>
        <w:t>Naturalmente solleveremo queste questioni il 2 agosto al Mef sul tavolo delle Convenzioni, ma già ieri abbiamo posto il problema all’Agenzia, che è una delle parti che stipula la Convenzione e che non può certo limitarsi a fissare obiettivi e strategie senza preoccuparsi del salario di chi con il proprio lavoro raggiungerà quegli obiettivi e realizzerà quelle strategie.</w:t>
      </w:r>
    </w:p>
    <w:p w:rsidR="00AE205A" w:rsidRPr="004757C2" w:rsidRDefault="00AE205A" w:rsidP="00AE205A">
      <w:pPr>
        <w:spacing w:after="80"/>
        <w:jc w:val="both"/>
        <w:rPr>
          <w:rFonts w:ascii="Times New Roman" w:hAnsi="Times New Roman" w:cs="Times New Roman"/>
          <w:sz w:val="20"/>
          <w:szCs w:val="20"/>
        </w:rPr>
      </w:pPr>
      <w:r w:rsidRPr="00AE205A">
        <w:rPr>
          <w:rFonts w:ascii="Times New Roman" w:hAnsi="Times New Roman" w:cs="Times New Roman"/>
        </w:rPr>
        <w:t xml:space="preserve">Per quanto riguarda gli altri argomenti all’ordine del giorno, l’Agenzia ha ribadito la volontà di portare a compimento entro l’anno lo scorrimento </w:t>
      </w:r>
      <w:r w:rsidR="003B1EDF">
        <w:rPr>
          <w:rFonts w:ascii="Times New Roman" w:hAnsi="Times New Roman" w:cs="Times New Roman"/>
        </w:rPr>
        <w:t>dei ca. 190</w:t>
      </w:r>
      <w:r w:rsidRPr="00AE205A">
        <w:rPr>
          <w:rFonts w:ascii="Times New Roman" w:hAnsi="Times New Roman" w:cs="Times New Roman"/>
        </w:rPr>
        <w:t xml:space="preserve"> </w:t>
      </w:r>
      <w:r w:rsidRPr="00AE205A">
        <w:rPr>
          <w:rFonts w:ascii="Times New Roman" w:hAnsi="Times New Roman" w:cs="Times New Roman"/>
          <w:b/>
        </w:rPr>
        <w:t xml:space="preserve">idonei </w:t>
      </w:r>
      <w:r w:rsidRPr="00AE205A">
        <w:rPr>
          <w:rFonts w:ascii="Times New Roman" w:hAnsi="Times New Roman" w:cs="Times New Roman"/>
        </w:rPr>
        <w:t xml:space="preserve">alla terza Area </w:t>
      </w:r>
      <w:r w:rsidR="003B1EDF">
        <w:rPr>
          <w:rFonts w:ascii="Times New Roman" w:hAnsi="Times New Roman" w:cs="Times New Roman"/>
        </w:rPr>
        <w:t>(inserito anche nel piano triennale del personale)</w:t>
      </w:r>
      <w:r w:rsidRPr="00AE205A">
        <w:rPr>
          <w:rFonts w:ascii="Times New Roman" w:hAnsi="Times New Roman" w:cs="Times New Roman"/>
        </w:rPr>
        <w:t xml:space="preserve"> e </w:t>
      </w:r>
      <w:r w:rsidRPr="00AE205A">
        <w:rPr>
          <w:rFonts w:ascii="Times New Roman" w:hAnsi="Times New Roman" w:cs="Times New Roman"/>
          <w:b/>
        </w:rPr>
        <w:t xml:space="preserve">l’armonizzazione </w:t>
      </w:r>
      <w:r w:rsidRPr="00AE205A">
        <w:rPr>
          <w:rFonts w:ascii="Times New Roman" w:hAnsi="Times New Roman" w:cs="Times New Roman"/>
        </w:rPr>
        <w:t>del personale fra le due Aree, monopoli e dogane, con le modalità che ci erano state già comunicate nella riunione dell’ 8 luglio</w:t>
      </w:r>
      <w:r w:rsidR="004757C2">
        <w:rPr>
          <w:rFonts w:ascii="Times New Roman" w:hAnsi="Times New Roman" w:cs="Times New Roman"/>
        </w:rPr>
        <w:t xml:space="preserve"> </w:t>
      </w:r>
      <w:r w:rsidR="00F61FE1">
        <w:rPr>
          <w:rFonts w:ascii="Times New Roman" w:hAnsi="Times New Roman" w:cs="Times New Roman"/>
        </w:rPr>
        <w:t>(</w:t>
      </w:r>
      <w:hyperlink r:id="rId9" w:history="1">
        <w:r w:rsidR="00F61FE1">
          <w:rPr>
            <w:rStyle w:val="Collegamentoipertestuale"/>
            <w:rFonts w:ascii="Times New Roman" w:hAnsi="Times New Roman" w:cs="Times New Roman"/>
            <w:sz w:val="20"/>
            <w:szCs w:val="20"/>
          </w:rPr>
          <w:t>vedi news</w:t>
        </w:r>
      </w:hyperlink>
      <w:r w:rsidR="00F61FE1">
        <w:rPr>
          <w:rFonts w:ascii="Times New Roman" w:hAnsi="Times New Roman" w:cs="Times New Roman"/>
          <w:sz w:val="20"/>
          <w:szCs w:val="20"/>
        </w:rPr>
        <w:t>).</w:t>
      </w:r>
      <w:r w:rsidR="004757C2" w:rsidRPr="004757C2">
        <w:rPr>
          <w:rFonts w:ascii="Times New Roman" w:hAnsi="Times New Roman" w:cs="Times New Roman"/>
          <w:sz w:val="20"/>
          <w:szCs w:val="20"/>
        </w:rPr>
        <w:t xml:space="preserve"> </w:t>
      </w:r>
    </w:p>
    <w:p w:rsidR="00AE205A" w:rsidRPr="00AE205A" w:rsidRDefault="00AE205A" w:rsidP="00AE205A">
      <w:pPr>
        <w:spacing w:after="80"/>
        <w:jc w:val="both"/>
        <w:rPr>
          <w:rFonts w:ascii="Times New Roman" w:hAnsi="Times New Roman" w:cs="Times New Roman"/>
        </w:rPr>
      </w:pPr>
      <w:r w:rsidRPr="00AE205A">
        <w:rPr>
          <w:rFonts w:ascii="Times New Roman" w:hAnsi="Times New Roman" w:cs="Times New Roman"/>
        </w:rPr>
        <w:t xml:space="preserve">Sono stati inoltre firmati gli accordi sui criteri per le </w:t>
      </w:r>
      <w:r w:rsidRPr="00AE205A">
        <w:rPr>
          <w:rFonts w:ascii="Times New Roman" w:hAnsi="Times New Roman" w:cs="Times New Roman"/>
          <w:b/>
        </w:rPr>
        <w:t>progressioni economiche 2015</w:t>
      </w:r>
      <w:r w:rsidRPr="00AE205A">
        <w:rPr>
          <w:rFonts w:ascii="Times New Roman" w:hAnsi="Times New Roman" w:cs="Times New Roman"/>
        </w:rPr>
        <w:t xml:space="preserve"> sia per le Dogane </w:t>
      </w:r>
      <w:r w:rsidR="003B1EDF">
        <w:rPr>
          <w:rFonts w:ascii="Times New Roman" w:hAnsi="Times New Roman" w:cs="Times New Roman"/>
        </w:rPr>
        <w:t xml:space="preserve">(ca. 2.500 esclusi dalla seconda tornata) </w:t>
      </w:r>
      <w:r w:rsidRPr="00AE205A">
        <w:rPr>
          <w:rFonts w:ascii="Times New Roman" w:hAnsi="Times New Roman" w:cs="Times New Roman"/>
        </w:rPr>
        <w:t>che per i Monopoli</w:t>
      </w:r>
      <w:r w:rsidR="003B1EDF">
        <w:rPr>
          <w:rFonts w:ascii="Times New Roman" w:hAnsi="Times New Roman" w:cs="Times New Roman"/>
        </w:rPr>
        <w:t xml:space="preserve"> (circa 850 nuove progressioni)</w:t>
      </w:r>
      <w:r w:rsidRPr="00AE205A">
        <w:rPr>
          <w:rFonts w:ascii="Times New Roman" w:hAnsi="Times New Roman" w:cs="Times New Roman"/>
        </w:rPr>
        <w:t xml:space="preserve">. </w:t>
      </w:r>
    </w:p>
    <w:p w:rsidR="00AE205A" w:rsidRDefault="00AE205A" w:rsidP="00AE205A">
      <w:pPr>
        <w:spacing w:after="80"/>
        <w:jc w:val="both"/>
        <w:rPr>
          <w:rFonts w:ascii="Times New Roman" w:hAnsi="Times New Roman" w:cs="Times New Roman"/>
        </w:rPr>
      </w:pPr>
      <w:r w:rsidRPr="00AE205A">
        <w:rPr>
          <w:rFonts w:ascii="Times New Roman" w:hAnsi="Times New Roman" w:cs="Times New Roman"/>
        </w:rPr>
        <w:t>Per quest’ultimi non si trattava di completare la seconda tornata di progressioni dopo il blocco imposto dalle norme dal 2011 al 2014, ma di avviarne una nuova. Era quindi importante mettere tutti nella condizioni di giocarsi le proprie possibilità, senza rendite di posizione. Poiché in questo caso piccole differenze di punteggio possono essere decisive nell’attribuzione o meno della progressione, avevamo chiesto che le commissioni di controllo giochi venissero esplicitamente escluse dall’attribuzione di punteggi aggiuntivi previsti per incarichi particolari (partecipazione a commissioni, team, comitati etc.</w:t>
      </w:r>
      <w:r w:rsidR="003B1EDF">
        <w:rPr>
          <w:rFonts w:ascii="Times New Roman" w:hAnsi="Times New Roman" w:cs="Times New Roman"/>
        </w:rPr>
        <w:t>.</w:t>
      </w:r>
      <w:r w:rsidRPr="00AE205A">
        <w:rPr>
          <w:rFonts w:ascii="Times New Roman" w:hAnsi="Times New Roman" w:cs="Times New Roman"/>
        </w:rPr>
        <w:t>.) per la peculiarità che aveva in passato il metodo di retribuzione di queste attività (si sta parlando di titoli che dovevano essere posseduti al 31 dicembre 2014), per il numero elevato di queste commissioni che mal si concilia con attività “particolari” e, soprattutto, perché si svolgono solo in alcune città e non in tutto il territorio nazionale. Non ci sono però state modifiche al riguardo e abbiamo deciso di non firmare l’accordo per i Monopoli.</w:t>
      </w:r>
    </w:p>
    <w:p w:rsidR="00AE205A" w:rsidRPr="003B1EDF" w:rsidRDefault="00AE205A" w:rsidP="00AE205A">
      <w:pPr>
        <w:jc w:val="both"/>
        <w:rPr>
          <w:rFonts w:ascii="Times New Roman" w:hAnsi="Times New Roman" w:cs="Times New Roman"/>
        </w:rPr>
      </w:pPr>
      <w:r w:rsidRPr="003B1EDF">
        <w:rPr>
          <w:rFonts w:ascii="Times New Roman" w:hAnsi="Times New Roman" w:cs="Times New Roman"/>
        </w:rPr>
        <w:t>E’ stat</w:t>
      </w:r>
      <w:r w:rsidR="003B1EDF" w:rsidRPr="003B1EDF">
        <w:rPr>
          <w:rFonts w:ascii="Times New Roman" w:hAnsi="Times New Roman" w:cs="Times New Roman"/>
        </w:rPr>
        <w:t>o</w:t>
      </w:r>
      <w:r w:rsidRPr="003B1EDF">
        <w:rPr>
          <w:rFonts w:ascii="Times New Roman" w:hAnsi="Times New Roman" w:cs="Times New Roman"/>
        </w:rPr>
        <w:t xml:space="preserve"> infine convenuto di definire entro settembre numeri e criteri per </w:t>
      </w:r>
      <w:r w:rsidR="003B1EDF">
        <w:rPr>
          <w:rFonts w:ascii="Times New Roman" w:hAnsi="Times New Roman" w:cs="Times New Roman"/>
        </w:rPr>
        <w:t xml:space="preserve">ulteriori </w:t>
      </w:r>
      <w:r w:rsidRPr="00F61FE1">
        <w:rPr>
          <w:rFonts w:ascii="Times New Roman" w:hAnsi="Times New Roman" w:cs="Times New Roman"/>
          <w:b/>
        </w:rPr>
        <w:t>nuove progressioni con decorrenza 2016</w:t>
      </w:r>
      <w:r w:rsidR="00F61FE1">
        <w:rPr>
          <w:rFonts w:ascii="Times New Roman" w:hAnsi="Times New Roman" w:cs="Times New Roman"/>
        </w:rPr>
        <w:t>.</w:t>
      </w:r>
    </w:p>
    <w:p w:rsidR="00985DD6" w:rsidRPr="00AE205A" w:rsidRDefault="00AD1651" w:rsidP="00985DD6">
      <w:pPr>
        <w:spacing w:after="120" w:line="320" w:lineRule="exact"/>
        <w:ind w:left="4248" w:firstLine="708"/>
        <w:jc w:val="both"/>
        <w:rPr>
          <w:rFonts w:ascii="Times New Roman" w:hAnsi="Times New Roman" w:cs="Times New Roman"/>
          <w:b/>
        </w:rPr>
      </w:pPr>
      <w:r>
        <w:rPr>
          <w:rFonts w:ascii="Times New Roman" w:hAnsi="Times New Roman" w:cs="Times New Roman"/>
          <w:b/>
          <w:sz w:val="25"/>
          <w:szCs w:val="25"/>
        </w:rPr>
        <w:t xml:space="preserve">      </w:t>
      </w:r>
      <w:r w:rsidR="00985DD6" w:rsidRPr="00AE205A">
        <w:rPr>
          <w:rFonts w:ascii="Times New Roman" w:hAnsi="Times New Roman" w:cs="Times New Roman"/>
          <w:b/>
        </w:rPr>
        <w:t>USB P.I. - Agenzie Fiscali</w:t>
      </w:r>
    </w:p>
    <w:sectPr w:rsidR="00985DD6" w:rsidRPr="00AE205A" w:rsidSect="00513A8E">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67" w:rsidRDefault="00A82D67">
      <w:r>
        <w:separator/>
      </w:r>
    </w:p>
  </w:endnote>
  <w:endnote w:type="continuationSeparator" w:id="1">
    <w:p w:rsidR="00A82D67" w:rsidRDefault="00A82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Grassetto+FPEF">
    <w:altName w:val="Arial Unicode MS"/>
    <w:charset w:val="80"/>
    <w:family w:val="swiss"/>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A" w:rsidRDefault="00FB24C1" w:rsidP="00204148">
    <w:pPr>
      <w:pStyle w:val="Pidipagina"/>
      <w:framePr w:wrap="around" w:vAnchor="text" w:hAnchor="margin" w:xAlign="right" w:y="1"/>
      <w:rPr>
        <w:rStyle w:val="Numeropagina"/>
      </w:rPr>
    </w:pPr>
    <w:r>
      <w:rPr>
        <w:rStyle w:val="Numeropagina"/>
      </w:rPr>
      <w:fldChar w:fldCharType="begin"/>
    </w:r>
    <w:r w:rsidR="009E0E9A">
      <w:rPr>
        <w:rStyle w:val="Numeropagina"/>
      </w:rPr>
      <w:instrText xml:space="preserve">PAGE  </w:instrText>
    </w:r>
    <w:r>
      <w:rPr>
        <w:rStyle w:val="Numeropagina"/>
      </w:rPr>
      <w:fldChar w:fldCharType="end"/>
    </w:r>
  </w:p>
  <w:p w:rsidR="009E0E9A" w:rsidRDefault="009E0E9A" w:rsidP="00F83EB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A" w:rsidRDefault="00FB24C1" w:rsidP="00F83EBD">
    <w:pPr>
      <w:pStyle w:val="Pidipagina"/>
      <w:ind w:right="360"/>
    </w:pPr>
    <w:r>
      <w:rPr>
        <w:noProof/>
      </w:rPr>
      <w:pict>
        <v:line id="Line 2" o:spid="_x0000_s4097" style="position:absolute;flip:y;z-index:251657728;visibility:visible;mso-wrap-distance-top:-3e-5mm;mso-wrap-distance-bottom:-3e-5mm" from="9pt,-1.85pt" to="4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" strokecolor="red" strokeweight="6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67" w:rsidRDefault="00A82D67">
      <w:r>
        <w:separator/>
      </w:r>
    </w:p>
  </w:footnote>
  <w:footnote w:type="continuationSeparator" w:id="1">
    <w:p w:rsidR="00A82D67" w:rsidRDefault="00A82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4424D"/>
    <w:multiLevelType w:val="hybridMultilevel"/>
    <w:tmpl w:val="A7002E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8254C2A"/>
    <w:multiLevelType w:val="hybridMultilevel"/>
    <w:tmpl w:val="4A32A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08"/>
  <w:hyphenationZone w:val="283"/>
  <w:characterSpacingControl w:val="doNotCompress"/>
  <w:hdrShapeDefaults>
    <o:shapedefaults v:ext="edit" spidmax="11266">
      <o:colormru v:ext="edit" colors="#60c"/>
    </o:shapedefaults>
    <o:shapelayout v:ext="edit">
      <o:idmap v:ext="edit" data="4"/>
    </o:shapelayout>
  </w:hdrShapeDefaults>
  <w:footnotePr>
    <w:footnote w:id="0"/>
    <w:footnote w:id="1"/>
  </w:footnotePr>
  <w:endnotePr>
    <w:endnote w:id="0"/>
    <w:endnote w:id="1"/>
  </w:endnotePr>
  <w:compat/>
  <w:rsids>
    <w:rsidRoot w:val="00715911"/>
    <w:rsid w:val="0000783E"/>
    <w:rsid w:val="0002224C"/>
    <w:rsid w:val="00035D9F"/>
    <w:rsid w:val="00036CBA"/>
    <w:rsid w:val="00051E80"/>
    <w:rsid w:val="00055DE2"/>
    <w:rsid w:val="00063479"/>
    <w:rsid w:val="00067904"/>
    <w:rsid w:val="000B60AD"/>
    <w:rsid w:val="000B6FD1"/>
    <w:rsid w:val="000C7D77"/>
    <w:rsid w:val="000F2BA4"/>
    <w:rsid w:val="0011008A"/>
    <w:rsid w:val="00124903"/>
    <w:rsid w:val="00172D0F"/>
    <w:rsid w:val="001B2841"/>
    <w:rsid w:val="001B5BB7"/>
    <w:rsid w:val="001C5013"/>
    <w:rsid w:val="001F23FD"/>
    <w:rsid w:val="00200176"/>
    <w:rsid w:val="00204148"/>
    <w:rsid w:val="00205141"/>
    <w:rsid w:val="00233652"/>
    <w:rsid w:val="00235E48"/>
    <w:rsid w:val="002463DF"/>
    <w:rsid w:val="002738C1"/>
    <w:rsid w:val="002820EF"/>
    <w:rsid w:val="002C5E53"/>
    <w:rsid w:val="003037C0"/>
    <w:rsid w:val="00313063"/>
    <w:rsid w:val="00324544"/>
    <w:rsid w:val="003360FA"/>
    <w:rsid w:val="00337F44"/>
    <w:rsid w:val="00373601"/>
    <w:rsid w:val="00373F01"/>
    <w:rsid w:val="003A5C48"/>
    <w:rsid w:val="003B1EDF"/>
    <w:rsid w:val="003B658F"/>
    <w:rsid w:val="003E74BF"/>
    <w:rsid w:val="00402A8E"/>
    <w:rsid w:val="004041A7"/>
    <w:rsid w:val="00456747"/>
    <w:rsid w:val="004569AC"/>
    <w:rsid w:val="004757C2"/>
    <w:rsid w:val="00477C35"/>
    <w:rsid w:val="004B074E"/>
    <w:rsid w:val="004D0963"/>
    <w:rsid w:val="0051387B"/>
    <w:rsid w:val="00513A8E"/>
    <w:rsid w:val="005360EF"/>
    <w:rsid w:val="005446D5"/>
    <w:rsid w:val="00550A8C"/>
    <w:rsid w:val="00577ACA"/>
    <w:rsid w:val="00583725"/>
    <w:rsid w:val="005B4488"/>
    <w:rsid w:val="005B45B0"/>
    <w:rsid w:val="005C1E8A"/>
    <w:rsid w:val="005C4CED"/>
    <w:rsid w:val="00601DCF"/>
    <w:rsid w:val="0060481B"/>
    <w:rsid w:val="00630393"/>
    <w:rsid w:val="00665E09"/>
    <w:rsid w:val="00684552"/>
    <w:rsid w:val="00696D04"/>
    <w:rsid w:val="006B185F"/>
    <w:rsid w:val="006B4480"/>
    <w:rsid w:val="00715911"/>
    <w:rsid w:val="00717994"/>
    <w:rsid w:val="00737787"/>
    <w:rsid w:val="007435E0"/>
    <w:rsid w:val="00762763"/>
    <w:rsid w:val="0077752F"/>
    <w:rsid w:val="007810A4"/>
    <w:rsid w:val="007A7106"/>
    <w:rsid w:val="007B7148"/>
    <w:rsid w:val="007B7C34"/>
    <w:rsid w:val="007C4545"/>
    <w:rsid w:val="007D4F68"/>
    <w:rsid w:val="007E0FBE"/>
    <w:rsid w:val="007E7D23"/>
    <w:rsid w:val="007F7750"/>
    <w:rsid w:val="00852FE1"/>
    <w:rsid w:val="0088150D"/>
    <w:rsid w:val="008954FD"/>
    <w:rsid w:val="008A3488"/>
    <w:rsid w:val="008A390F"/>
    <w:rsid w:val="008B3F09"/>
    <w:rsid w:val="008E38BC"/>
    <w:rsid w:val="0091607D"/>
    <w:rsid w:val="009528C3"/>
    <w:rsid w:val="009700FD"/>
    <w:rsid w:val="00977C88"/>
    <w:rsid w:val="00985DD6"/>
    <w:rsid w:val="009A37C3"/>
    <w:rsid w:val="009A3F5F"/>
    <w:rsid w:val="009B5C36"/>
    <w:rsid w:val="009E0C1C"/>
    <w:rsid w:val="009E0E9A"/>
    <w:rsid w:val="009F1C6F"/>
    <w:rsid w:val="00A14CFC"/>
    <w:rsid w:val="00A2693F"/>
    <w:rsid w:val="00A75BA6"/>
    <w:rsid w:val="00A82D67"/>
    <w:rsid w:val="00A97065"/>
    <w:rsid w:val="00AB73EA"/>
    <w:rsid w:val="00AD1651"/>
    <w:rsid w:val="00AD7675"/>
    <w:rsid w:val="00AE205A"/>
    <w:rsid w:val="00B0791A"/>
    <w:rsid w:val="00B153C8"/>
    <w:rsid w:val="00B15710"/>
    <w:rsid w:val="00B17F1C"/>
    <w:rsid w:val="00B334A0"/>
    <w:rsid w:val="00B50457"/>
    <w:rsid w:val="00B53DA5"/>
    <w:rsid w:val="00B55271"/>
    <w:rsid w:val="00B55737"/>
    <w:rsid w:val="00B57867"/>
    <w:rsid w:val="00B6047F"/>
    <w:rsid w:val="00B61980"/>
    <w:rsid w:val="00B8316C"/>
    <w:rsid w:val="00BB03D6"/>
    <w:rsid w:val="00BC078A"/>
    <w:rsid w:val="00BE0E10"/>
    <w:rsid w:val="00BF0ED9"/>
    <w:rsid w:val="00C21757"/>
    <w:rsid w:val="00C8151D"/>
    <w:rsid w:val="00C9729C"/>
    <w:rsid w:val="00CC2BE0"/>
    <w:rsid w:val="00D366F6"/>
    <w:rsid w:val="00D446BC"/>
    <w:rsid w:val="00D628F6"/>
    <w:rsid w:val="00D64A72"/>
    <w:rsid w:val="00D81470"/>
    <w:rsid w:val="00D86948"/>
    <w:rsid w:val="00D95CFF"/>
    <w:rsid w:val="00DB5744"/>
    <w:rsid w:val="00DE3BE1"/>
    <w:rsid w:val="00DE51E4"/>
    <w:rsid w:val="00E06798"/>
    <w:rsid w:val="00E321E6"/>
    <w:rsid w:val="00E37EDB"/>
    <w:rsid w:val="00E542F0"/>
    <w:rsid w:val="00E62C57"/>
    <w:rsid w:val="00E65A58"/>
    <w:rsid w:val="00EA7020"/>
    <w:rsid w:val="00EC2180"/>
    <w:rsid w:val="00EE349C"/>
    <w:rsid w:val="00F015F1"/>
    <w:rsid w:val="00F124A0"/>
    <w:rsid w:val="00F12BC0"/>
    <w:rsid w:val="00F25B41"/>
    <w:rsid w:val="00F411FE"/>
    <w:rsid w:val="00F42762"/>
    <w:rsid w:val="00F61FE1"/>
    <w:rsid w:val="00F823E0"/>
    <w:rsid w:val="00F83EBD"/>
    <w:rsid w:val="00F8546B"/>
    <w:rsid w:val="00F86C2B"/>
    <w:rsid w:val="00F90EB9"/>
    <w:rsid w:val="00F9721C"/>
    <w:rsid w:val="00FB24C1"/>
    <w:rsid w:val="00FB3207"/>
    <w:rsid w:val="00FC1FF2"/>
    <w:rsid w:val="00FE1F83"/>
    <w:rsid w:val="00FF01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6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54FD"/>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5911"/>
    <w:rPr>
      <w:color w:val="0000FF"/>
      <w:u w:val="single"/>
    </w:rPr>
  </w:style>
  <w:style w:type="paragraph" w:styleId="Corpodeltesto">
    <w:name w:val="Body Text"/>
    <w:basedOn w:val="Normale"/>
    <w:rsid w:val="007C4545"/>
    <w:pPr>
      <w:spacing w:after="160" w:line="340" w:lineRule="exact"/>
      <w:ind w:firstLine="284"/>
      <w:jc w:val="both"/>
    </w:pPr>
    <w:rPr>
      <w:rFonts w:ascii="Times New Roman" w:hAnsi="Times New Roman"/>
      <w:sz w:val="22"/>
    </w:rPr>
  </w:style>
  <w:style w:type="paragraph" w:styleId="Testonotaapidipagina">
    <w:name w:val="footnote text"/>
    <w:basedOn w:val="Normale"/>
    <w:semiHidden/>
    <w:rsid w:val="007C4545"/>
    <w:rPr>
      <w:rFonts w:ascii="Times New Roman" w:hAnsi="Times New Roman" w:cs="Times New Roman"/>
      <w:sz w:val="20"/>
      <w:szCs w:val="20"/>
    </w:rPr>
  </w:style>
  <w:style w:type="character" w:styleId="Rimandonotaapidipagina">
    <w:name w:val="footnote reference"/>
    <w:semiHidden/>
    <w:rsid w:val="007C4545"/>
    <w:rPr>
      <w:vertAlign w:val="superscript"/>
    </w:rPr>
  </w:style>
  <w:style w:type="paragraph" w:styleId="Pidipagina">
    <w:name w:val="footer"/>
    <w:basedOn w:val="Normale"/>
    <w:rsid w:val="00F83EBD"/>
    <w:pPr>
      <w:tabs>
        <w:tab w:val="center" w:pos="4819"/>
        <w:tab w:val="right" w:pos="9638"/>
      </w:tabs>
    </w:pPr>
  </w:style>
  <w:style w:type="character" w:styleId="Numeropagina">
    <w:name w:val="page number"/>
    <w:basedOn w:val="Carpredefinitoparagrafo"/>
    <w:rsid w:val="00F83EBD"/>
  </w:style>
  <w:style w:type="paragraph" w:styleId="Intestazione">
    <w:name w:val="header"/>
    <w:basedOn w:val="Normale"/>
    <w:rsid w:val="00F83EBD"/>
    <w:pPr>
      <w:tabs>
        <w:tab w:val="center" w:pos="4819"/>
        <w:tab w:val="right" w:pos="9638"/>
      </w:tabs>
    </w:pPr>
  </w:style>
  <w:style w:type="paragraph" w:styleId="NormaleWeb">
    <w:name w:val="Normal (Web)"/>
    <w:basedOn w:val="Normale"/>
    <w:uiPriority w:val="99"/>
    <w:rsid w:val="00665E09"/>
    <w:pPr>
      <w:spacing w:before="100" w:beforeAutospacing="1" w:after="100" w:afterAutospacing="1"/>
    </w:pPr>
    <w:rPr>
      <w:rFonts w:ascii="Times New Roman" w:hAnsi="Times New Roman" w:cs="Times New Roman"/>
    </w:rPr>
  </w:style>
  <w:style w:type="paragraph" w:styleId="Testonormale">
    <w:name w:val="Plain Text"/>
    <w:basedOn w:val="Normale"/>
    <w:rsid w:val="00601DCF"/>
    <w:rPr>
      <w:rFonts w:ascii="Verdana" w:hAnsi="Verdana" w:cs="Times New Roman"/>
      <w:sz w:val="20"/>
      <w:szCs w:val="20"/>
    </w:rPr>
  </w:style>
  <w:style w:type="character" w:customStyle="1" w:styleId="Inizioinevidenza">
    <w:name w:val="Inizio in evidenza"/>
    <w:rsid w:val="00852FE1"/>
    <w:rPr>
      <w:caps/>
    </w:rPr>
  </w:style>
  <w:style w:type="paragraph" w:customStyle="1" w:styleId="Body1">
    <w:name w:val="Body 1"/>
    <w:rsid w:val="00B50457"/>
    <w:rPr>
      <w:rFonts w:ascii="Helvetica" w:eastAsia="Arial Unicode MS" w:hAnsi="Helvetica"/>
      <w:color w:val="000000"/>
      <w:sz w:val="24"/>
    </w:rPr>
  </w:style>
  <w:style w:type="paragraph" w:styleId="Paragrafoelenco">
    <w:name w:val="List Paragraph"/>
    <w:basedOn w:val="Normale"/>
    <w:uiPriority w:val="34"/>
    <w:qFormat/>
    <w:rsid w:val="007E7D23"/>
    <w:pPr>
      <w:spacing w:after="200" w:line="276" w:lineRule="auto"/>
      <w:ind w:left="720"/>
      <w:contextualSpacing/>
    </w:pPr>
    <w:rPr>
      <w:rFonts w:ascii="Calibri" w:eastAsia="Calibri" w:hAnsi="Calibri" w:cs="Times New Roman"/>
      <w:sz w:val="22"/>
      <w:szCs w:val="22"/>
      <w:lang w:eastAsia="en-US"/>
    </w:rPr>
  </w:style>
  <w:style w:type="character" w:customStyle="1" w:styleId="object">
    <w:name w:val="object"/>
    <w:rsid w:val="0060481B"/>
  </w:style>
  <w:style w:type="paragraph" w:styleId="Testofumetto">
    <w:name w:val="Balloon Text"/>
    <w:basedOn w:val="Normale"/>
    <w:link w:val="TestofumettoCarattere"/>
    <w:rsid w:val="00F86C2B"/>
    <w:rPr>
      <w:rFonts w:ascii="Tahoma" w:hAnsi="Tahoma" w:cs="Tahoma"/>
      <w:sz w:val="16"/>
      <w:szCs w:val="16"/>
    </w:rPr>
  </w:style>
  <w:style w:type="character" w:customStyle="1" w:styleId="TestofumettoCarattere">
    <w:name w:val="Testo fumetto Carattere"/>
    <w:basedOn w:val="Carpredefinitoparagrafo"/>
    <w:link w:val="Testofumetto"/>
    <w:rsid w:val="00F86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5911"/>
    <w:rPr>
      <w:color w:val="0000FF"/>
      <w:u w:val="single"/>
    </w:rPr>
  </w:style>
  <w:style w:type="paragraph" w:styleId="Corpotesto">
    <w:name w:val="Body Text"/>
    <w:basedOn w:val="Normale"/>
    <w:rsid w:val="007C4545"/>
    <w:pPr>
      <w:spacing w:after="160" w:line="340" w:lineRule="exact"/>
      <w:ind w:firstLine="284"/>
      <w:jc w:val="both"/>
    </w:pPr>
    <w:rPr>
      <w:rFonts w:ascii="Times New Roman" w:hAnsi="Times New Roman"/>
      <w:sz w:val="22"/>
    </w:rPr>
  </w:style>
  <w:style w:type="paragraph" w:styleId="Testonotaapidipagina">
    <w:name w:val="footnote text"/>
    <w:basedOn w:val="Normale"/>
    <w:semiHidden/>
    <w:rsid w:val="007C4545"/>
    <w:rPr>
      <w:rFonts w:ascii="Times New Roman" w:hAnsi="Times New Roman" w:cs="Times New Roman"/>
      <w:sz w:val="20"/>
      <w:szCs w:val="20"/>
    </w:rPr>
  </w:style>
  <w:style w:type="character" w:styleId="Rimandonotaapidipagina">
    <w:name w:val="footnote reference"/>
    <w:semiHidden/>
    <w:rsid w:val="007C4545"/>
    <w:rPr>
      <w:vertAlign w:val="superscript"/>
    </w:rPr>
  </w:style>
  <w:style w:type="paragraph" w:styleId="Pidipagina">
    <w:name w:val="footer"/>
    <w:basedOn w:val="Normale"/>
    <w:rsid w:val="00F83EBD"/>
    <w:pPr>
      <w:tabs>
        <w:tab w:val="center" w:pos="4819"/>
        <w:tab w:val="right" w:pos="9638"/>
      </w:tabs>
    </w:pPr>
  </w:style>
  <w:style w:type="character" w:styleId="Numeropagina">
    <w:name w:val="page number"/>
    <w:basedOn w:val="Carpredefinitoparagrafo"/>
    <w:rsid w:val="00F83EBD"/>
  </w:style>
  <w:style w:type="paragraph" w:styleId="Intestazione">
    <w:name w:val="header"/>
    <w:basedOn w:val="Normale"/>
    <w:rsid w:val="00F83EBD"/>
    <w:pPr>
      <w:tabs>
        <w:tab w:val="center" w:pos="4819"/>
        <w:tab w:val="right" w:pos="9638"/>
      </w:tabs>
    </w:pPr>
  </w:style>
  <w:style w:type="paragraph" w:styleId="NormaleWeb">
    <w:name w:val="Normal (Web)"/>
    <w:basedOn w:val="Normale"/>
    <w:uiPriority w:val="99"/>
    <w:rsid w:val="00665E09"/>
    <w:pPr>
      <w:spacing w:before="100" w:beforeAutospacing="1" w:after="100" w:afterAutospacing="1"/>
    </w:pPr>
    <w:rPr>
      <w:rFonts w:ascii="Times New Roman" w:hAnsi="Times New Roman" w:cs="Times New Roman"/>
    </w:rPr>
  </w:style>
  <w:style w:type="paragraph" w:styleId="Testonormale">
    <w:name w:val="Plain Text"/>
    <w:basedOn w:val="Normale"/>
    <w:rsid w:val="00601DCF"/>
    <w:rPr>
      <w:rFonts w:ascii="Verdana" w:hAnsi="Verdana" w:cs="Times New Roman"/>
      <w:sz w:val="20"/>
      <w:szCs w:val="20"/>
    </w:rPr>
  </w:style>
  <w:style w:type="character" w:customStyle="1" w:styleId="Inizioinevidenza">
    <w:name w:val="Inizio in evidenza"/>
    <w:rsid w:val="00852FE1"/>
    <w:rPr>
      <w:caps/>
    </w:rPr>
  </w:style>
  <w:style w:type="paragraph" w:customStyle="1" w:styleId="Body1">
    <w:name w:val="Body 1"/>
    <w:rsid w:val="00B50457"/>
    <w:rPr>
      <w:rFonts w:ascii="Helvetica" w:eastAsia="Arial Unicode MS" w:hAnsi="Helvetica"/>
      <w:color w:val="000000"/>
      <w:sz w:val="24"/>
    </w:rPr>
  </w:style>
  <w:style w:type="paragraph" w:styleId="Paragrafoelenco">
    <w:name w:val="List Paragraph"/>
    <w:basedOn w:val="Normale"/>
    <w:uiPriority w:val="34"/>
    <w:qFormat/>
    <w:rsid w:val="007E7D23"/>
    <w:pPr>
      <w:spacing w:after="200" w:line="276" w:lineRule="auto"/>
      <w:ind w:left="720"/>
      <w:contextualSpacing/>
    </w:pPr>
    <w:rPr>
      <w:rFonts w:ascii="Calibri" w:eastAsia="Calibri" w:hAnsi="Calibri" w:cs="Times New Roman"/>
      <w:sz w:val="22"/>
      <w:szCs w:val="22"/>
      <w:lang w:eastAsia="en-US"/>
    </w:rPr>
  </w:style>
  <w:style w:type="character" w:customStyle="1" w:styleId="object">
    <w:name w:val="object"/>
    <w:rsid w:val="0060481B"/>
  </w:style>
  <w:style w:type="paragraph" w:styleId="Testofumetto">
    <w:name w:val="Balloon Text"/>
    <w:basedOn w:val="Normale"/>
    <w:link w:val="TestofumettoCarattere"/>
    <w:rsid w:val="00F86C2B"/>
    <w:rPr>
      <w:rFonts w:ascii="Tahoma" w:hAnsi="Tahoma" w:cs="Tahoma"/>
      <w:sz w:val="16"/>
      <w:szCs w:val="16"/>
    </w:rPr>
  </w:style>
  <w:style w:type="character" w:customStyle="1" w:styleId="TestofumettoCarattere">
    <w:name w:val="Testo fumetto Carattere"/>
    <w:basedOn w:val="Carpredefinitoparagrafo"/>
    <w:link w:val="Testofumetto"/>
    <w:rsid w:val="00F86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4657">
      <w:bodyDiv w:val="1"/>
      <w:marLeft w:val="0"/>
      <w:marRight w:val="0"/>
      <w:marTop w:val="0"/>
      <w:marBottom w:val="0"/>
      <w:divBdr>
        <w:top w:val="none" w:sz="0" w:space="0" w:color="auto"/>
        <w:left w:val="none" w:sz="0" w:space="0" w:color="auto"/>
        <w:bottom w:val="none" w:sz="0" w:space="0" w:color="auto"/>
        <w:right w:val="none" w:sz="0" w:space="0" w:color="auto"/>
      </w:divBdr>
    </w:div>
    <w:div w:id="285698469">
      <w:bodyDiv w:val="1"/>
      <w:marLeft w:val="0"/>
      <w:marRight w:val="0"/>
      <w:marTop w:val="0"/>
      <w:marBottom w:val="0"/>
      <w:divBdr>
        <w:top w:val="none" w:sz="0" w:space="0" w:color="auto"/>
        <w:left w:val="none" w:sz="0" w:space="0" w:color="auto"/>
        <w:bottom w:val="none" w:sz="0" w:space="0" w:color="auto"/>
        <w:right w:val="none" w:sz="0" w:space="0" w:color="auto"/>
      </w:divBdr>
    </w:div>
    <w:div w:id="769665740">
      <w:bodyDiv w:val="1"/>
      <w:marLeft w:val="0"/>
      <w:marRight w:val="0"/>
      <w:marTop w:val="0"/>
      <w:marBottom w:val="0"/>
      <w:divBdr>
        <w:top w:val="none" w:sz="0" w:space="0" w:color="auto"/>
        <w:left w:val="none" w:sz="0" w:space="0" w:color="auto"/>
        <w:bottom w:val="none" w:sz="0" w:space="0" w:color="auto"/>
        <w:right w:val="none" w:sz="0" w:space="0" w:color="auto"/>
      </w:divBdr>
    </w:div>
    <w:div w:id="1310405363">
      <w:bodyDiv w:val="1"/>
      <w:marLeft w:val="0"/>
      <w:marRight w:val="0"/>
      <w:marTop w:val="0"/>
      <w:marBottom w:val="0"/>
      <w:divBdr>
        <w:top w:val="none" w:sz="0" w:space="0" w:color="auto"/>
        <w:left w:val="none" w:sz="0" w:space="0" w:color="auto"/>
        <w:bottom w:val="none" w:sz="0" w:space="0" w:color="auto"/>
        <w:right w:val="none" w:sz="0" w:space="0" w:color="auto"/>
      </w:divBdr>
    </w:div>
    <w:div w:id="1722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genziefiscali.usb.it/index.php?id=20&amp;tx_ttnews%5btt_news%5d=89667&amp;cHash=2aea0fddac&amp;MP=63-166"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87DFF-B926-41C2-9A5C-3652D500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Campioni</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Asus</cp:lastModifiedBy>
  <cp:revision>2</cp:revision>
  <cp:lastPrinted>2016-07-26T15:20:00Z</cp:lastPrinted>
  <dcterms:created xsi:type="dcterms:W3CDTF">2016-07-26T15:27:00Z</dcterms:created>
  <dcterms:modified xsi:type="dcterms:W3CDTF">2016-07-26T15:27:00Z</dcterms:modified>
</cp:coreProperties>
</file>